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Borders>
          <w:bottom w:val="thickThinSmallGap" w:sz="24" w:space="0" w:color="auto"/>
        </w:tblBorders>
        <w:tblLook w:val="01E0"/>
      </w:tblPr>
      <w:tblGrid>
        <w:gridCol w:w="8438"/>
      </w:tblGrid>
      <w:tr w:rsidR="00A96DE6" w:rsidRPr="00CB1751" w:rsidTr="00F313F7">
        <w:trPr>
          <w:jc w:val="center"/>
        </w:trPr>
        <w:tc>
          <w:tcPr>
            <w:tcW w:w="8438" w:type="dxa"/>
          </w:tcPr>
          <w:p w:rsidR="00A96DE6" w:rsidRPr="000005AB" w:rsidRDefault="00A96DE6" w:rsidP="00F313F7">
            <w:pPr>
              <w:pStyle w:val="1"/>
              <w:spacing w:before="0" w:line="276" w:lineRule="auto"/>
              <w:jc w:val="center"/>
              <w:rPr>
                <w:rFonts w:cs="GE Jarida Heavy" w:hint="cs"/>
                <w:b/>
                <w:bCs/>
                <w:sz w:val="32"/>
                <w:szCs w:val="36"/>
                <w:rtl/>
              </w:rPr>
            </w:pPr>
            <w:bookmarkStart w:id="0" w:name="OLE_LINK11"/>
            <w:bookmarkStart w:id="1" w:name="OLE_LINK12"/>
            <w:r w:rsidRPr="000005AB">
              <w:rPr>
                <w:rFonts w:cs="GE Jarida Heavy" w:hint="cs"/>
                <w:b/>
                <w:bCs/>
                <w:sz w:val="32"/>
                <w:szCs w:val="36"/>
                <w:rtl/>
              </w:rPr>
              <w:t>التصنيفات العالمية للجامعات وموقع الجامعات المصرية منها</w:t>
            </w:r>
            <w:bookmarkEnd w:id="0"/>
            <w:bookmarkEnd w:id="1"/>
            <w:r w:rsidRPr="000005AB">
              <w:rPr>
                <w:rFonts w:cs="GE Jarida Heavy" w:hint="cs"/>
                <w:b/>
                <w:bCs/>
                <w:sz w:val="32"/>
                <w:szCs w:val="36"/>
                <w:rtl/>
              </w:rPr>
              <w:t>.</w:t>
            </w:r>
          </w:p>
          <w:p w:rsidR="00A96DE6" w:rsidRPr="00D73685" w:rsidRDefault="00A96DE6" w:rsidP="00F313F7">
            <w:pPr>
              <w:spacing w:line="216" w:lineRule="auto"/>
              <w:jc w:val="center"/>
              <w:rPr>
                <w:rFonts w:ascii="IranNastaliq" w:hAnsi="IranNastaliq" w:cs="IranNastaliq" w:hint="cs"/>
                <w:sz w:val="40"/>
                <w:szCs w:val="40"/>
                <w:rtl/>
                <w:lang w:bidi="ar-EG"/>
              </w:rPr>
            </w:pPr>
            <w:r w:rsidRPr="00D73685">
              <w:rPr>
                <w:rFonts w:ascii="IranNastaliq" w:hAnsi="IranNastaliq" w:cs="IranNastaliq"/>
                <w:sz w:val="30"/>
                <w:szCs w:val="30"/>
                <w:rtl/>
                <w:lang w:bidi="ar-EG"/>
              </w:rPr>
              <w:t>إع</w:t>
            </w:r>
            <w:r w:rsidRPr="00D73685">
              <w:rPr>
                <w:rFonts w:ascii="IranNastaliq" w:hAnsi="IranNastaliq" w:cs="IranNastaliq" w:hint="cs"/>
                <w:sz w:val="30"/>
                <w:szCs w:val="30"/>
                <w:rtl/>
                <w:lang w:bidi="ar-EG"/>
              </w:rPr>
              <w:t>ـ</w:t>
            </w:r>
            <w:r w:rsidRPr="00D73685">
              <w:rPr>
                <w:rFonts w:ascii="IranNastaliq" w:hAnsi="IranNastaliq" w:cs="IranNastaliq"/>
                <w:sz w:val="30"/>
                <w:szCs w:val="30"/>
                <w:rtl/>
                <w:lang w:bidi="ar-EG"/>
              </w:rPr>
              <w:t>داد</w:t>
            </w:r>
          </w:p>
          <w:p w:rsidR="00A96DE6" w:rsidRPr="00D73685" w:rsidRDefault="00A96DE6" w:rsidP="00A96DE6">
            <w:pPr>
              <w:spacing w:line="216" w:lineRule="auto"/>
              <w:jc w:val="center"/>
              <w:rPr>
                <w:rFonts w:cs="GE Jarida Heavy"/>
                <w:sz w:val="32"/>
                <w:szCs w:val="32"/>
                <w:rtl/>
                <w:lang w:bidi="ar-EG"/>
              </w:rPr>
            </w:pPr>
            <w:r w:rsidRPr="00D73685">
              <w:rPr>
                <w:rFonts w:ascii="Simplified Arabic" w:hAnsi="Simplified Arabic" w:hint="cs"/>
                <w:b/>
                <w:bCs/>
                <w:rtl/>
                <w:lang w:bidi="ar-EG"/>
              </w:rPr>
              <w:t xml:space="preserve">م.م/ سمر مصطفى محمد </w:t>
            </w:r>
            <w:proofErr w:type="spellStart"/>
            <w:r w:rsidRPr="00D73685">
              <w:rPr>
                <w:rFonts w:ascii="Simplified Arabic" w:hAnsi="Simplified Arabic" w:hint="cs"/>
                <w:b/>
                <w:bCs/>
                <w:rtl/>
                <w:lang w:bidi="ar-EG"/>
              </w:rPr>
              <w:t>محمد</w:t>
            </w:r>
            <w:proofErr w:type="spellEnd"/>
          </w:p>
          <w:p w:rsidR="00A96DE6" w:rsidRDefault="00A96DE6" w:rsidP="00A96DE6">
            <w:pPr>
              <w:spacing w:line="216" w:lineRule="auto"/>
              <w:jc w:val="center"/>
              <w:rPr>
                <w:rFonts w:cs="SKR HEAD1" w:hint="cs"/>
                <w:b/>
                <w:bCs/>
                <w:sz w:val="24"/>
                <w:szCs w:val="24"/>
                <w:rtl/>
                <w:lang w:bidi="ar-EG"/>
              </w:rPr>
            </w:pPr>
            <w:r w:rsidRPr="00D73685">
              <w:rPr>
                <w:rFonts w:cs="SKR HEAD1" w:hint="cs"/>
                <w:b/>
                <w:bCs/>
                <w:sz w:val="24"/>
                <w:szCs w:val="24"/>
                <w:rtl/>
                <w:lang w:bidi="ar-EG"/>
              </w:rPr>
              <w:t>مدرس مساعد بالقسم</w:t>
            </w:r>
          </w:p>
          <w:p w:rsidR="00A96DE6" w:rsidRPr="00A96DE6" w:rsidRDefault="00A96DE6" w:rsidP="00A96DE6">
            <w:pPr>
              <w:spacing w:line="216" w:lineRule="auto"/>
              <w:jc w:val="center"/>
              <w:rPr>
                <w:rFonts w:ascii="IranNastaliq" w:hAnsi="IranNastaliq" w:cs="IranNastaliq"/>
                <w:sz w:val="30"/>
                <w:szCs w:val="30"/>
                <w:rtl/>
                <w:lang w:bidi="ar-EG"/>
              </w:rPr>
            </w:pPr>
            <w:r w:rsidRPr="00A96DE6">
              <w:rPr>
                <w:rFonts w:ascii="IranNastaliq" w:hAnsi="IranNastaliq" w:cs="IranNastaliq" w:hint="cs"/>
                <w:sz w:val="30"/>
                <w:szCs w:val="30"/>
                <w:rtl/>
                <w:lang w:bidi="ar-EG"/>
              </w:rPr>
              <w:t>إشراف</w:t>
            </w:r>
          </w:p>
          <w:tbl>
            <w:tblPr>
              <w:bidiVisual/>
              <w:tblW w:w="0" w:type="auto"/>
              <w:jc w:val="center"/>
              <w:tblLook w:val="04A0"/>
            </w:tblPr>
            <w:tblGrid>
              <w:gridCol w:w="4195"/>
              <w:gridCol w:w="3885"/>
            </w:tblGrid>
            <w:tr w:rsidR="00A96DE6" w:rsidRPr="00A96DE6" w:rsidTr="00F313F7">
              <w:trPr>
                <w:jc w:val="center"/>
              </w:trPr>
              <w:tc>
                <w:tcPr>
                  <w:tcW w:w="4195" w:type="dxa"/>
                  <w:shd w:val="clear" w:color="auto" w:fill="auto"/>
                </w:tcPr>
                <w:p w:rsidR="00A96DE6" w:rsidRPr="00A96DE6" w:rsidRDefault="00A96DE6" w:rsidP="00F313F7">
                  <w:pPr>
                    <w:spacing w:line="216" w:lineRule="auto"/>
                    <w:jc w:val="center"/>
                    <w:rPr>
                      <w:rFonts w:ascii="IranNastaliq" w:hAnsi="IranNastaliq" w:cs="IranNastaliq"/>
                      <w:sz w:val="30"/>
                      <w:szCs w:val="30"/>
                      <w:rtl/>
                      <w:lang w:bidi="ar-EG"/>
                    </w:rPr>
                  </w:pPr>
                  <w:r w:rsidRPr="00A96DE6">
                    <w:rPr>
                      <w:rFonts w:ascii="IranNastaliq" w:hAnsi="IranNastaliq" w:cs="IranNastaliq" w:hint="cs"/>
                      <w:sz w:val="30"/>
                      <w:szCs w:val="30"/>
                      <w:rtl/>
                      <w:lang w:bidi="ar-EG"/>
                    </w:rPr>
                    <w:t>أ.د</w:t>
                  </w:r>
                  <w:r w:rsidRPr="00A96DE6">
                    <w:rPr>
                      <w:rFonts w:ascii="IranNastaliq" w:hAnsi="IranNastaliq" w:cs="IranNastaliq"/>
                      <w:sz w:val="30"/>
                      <w:szCs w:val="30"/>
                      <w:rtl/>
                      <w:lang w:bidi="ar-EG"/>
                    </w:rPr>
                    <w:t>/</w:t>
                  </w:r>
                  <w:r w:rsidRPr="00A96DE6">
                    <w:rPr>
                      <w:rFonts w:ascii="IranNastaliq" w:hAnsi="IranNastaliq" w:cs="IranNastaliq" w:hint="cs"/>
                      <w:sz w:val="30"/>
                      <w:szCs w:val="30"/>
                      <w:rtl/>
                      <w:lang w:bidi="ar-EG"/>
                    </w:rPr>
                    <w:t xml:space="preserve"> سلامه عبد العظيم حسين</w:t>
                  </w:r>
                </w:p>
              </w:tc>
              <w:tc>
                <w:tcPr>
                  <w:tcW w:w="3885" w:type="dxa"/>
                  <w:shd w:val="clear" w:color="auto" w:fill="auto"/>
                </w:tcPr>
                <w:p w:rsidR="00A96DE6" w:rsidRPr="00A96DE6" w:rsidRDefault="00A96DE6" w:rsidP="00A96DE6">
                  <w:pPr>
                    <w:spacing w:line="216" w:lineRule="auto"/>
                    <w:jc w:val="center"/>
                    <w:rPr>
                      <w:rFonts w:ascii="IranNastaliq" w:hAnsi="IranNastaliq" w:cs="IranNastaliq"/>
                      <w:sz w:val="30"/>
                      <w:szCs w:val="30"/>
                      <w:rtl/>
                      <w:lang w:bidi="ar-EG"/>
                    </w:rPr>
                  </w:pPr>
                  <w:r w:rsidRPr="00A96DE6">
                    <w:rPr>
                      <w:rFonts w:ascii="IranNastaliq" w:hAnsi="IranNastaliq" w:cs="IranNastaliq" w:hint="cs"/>
                      <w:sz w:val="30"/>
                      <w:szCs w:val="30"/>
                      <w:rtl/>
                      <w:lang w:bidi="ar-EG"/>
                    </w:rPr>
                    <w:t xml:space="preserve">        د/ فاطمة أحمد زكي</w:t>
                  </w:r>
                </w:p>
              </w:tc>
            </w:tr>
            <w:tr w:rsidR="00A96DE6" w:rsidRPr="00D73685" w:rsidTr="00F313F7">
              <w:trPr>
                <w:trHeight w:val="292"/>
                <w:jc w:val="center"/>
              </w:trPr>
              <w:tc>
                <w:tcPr>
                  <w:tcW w:w="4195" w:type="dxa"/>
                  <w:shd w:val="clear" w:color="auto" w:fill="auto"/>
                </w:tcPr>
                <w:p w:rsidR="00A96DE6" w:rsidRPr="00D73685" w:rsidRDefault="00A96DE6" w:rsidP="00F313F7">
                  <w:pPr>
                    <w:spacing w:line="216" w:lineRule="auto"/>
                    <w:jc w:val="center"/>
                    <w:rPr>
                      <w:rFonts w:cs="SKR HEAD1"/>
                      <w:rtl/>
                      <w:lang w:bidi="ar-EG"/>
                    </w:rPr>
                  </w:pPr>
                  <w:r w:rsidRPr="00D73685">
                    <w:rPr>
                      <w:rFonts w:cs="SKR HEAD1" w:hint="cs"/>
                      <w:rtl/>
                      <w:lang w:bidi="ar-EG"/>
                    </w:rPr>
                    <w:t>أستاذ التربية المقارنة والإدارة التعليمية</w:t>
                  </w:r>
                </w:p>
                <w:p w:rsidR="00A96DE6" w:rsidRPr="00D73685" w:rsidRDefault="00A96DE6" w:rsidP="00F313F7">
                  <w:pPr>
                    <w:spacing w:line="216" w:lineRule="auto"/>
                    <w:jc w:val="center"/>
                    <w:rPr>
                      <w:rFonts w:cs="SKR HEAD1"/>
                      <w:rtl/>
                      <w:lang w:bidi="ar-EG"/>
                    </w:rPr>
                  </w:pPr>
                  <w:r w:rsidRPr="00D73685">
                    <w:rPr>
                      <w:rFonts w:cs="SKR HEAD1" w:hint="cs"/>
                      <w:rtl/>
                      <w:lang w:bidi="ar-EG"/>
                    </w:rPr>
                    <w:t xml:space="preserve">كلية التربية </w:t>
                  </w:r>
                  <w:r w:rsidRPr="00D73685">
                    <w:rPr>
                      <w:rFonts w:cs="SKR HEAD1"/>
                      <w:rtl/>
                      <w:lang w:bidi="ar-EG"/>
                    </w:rPr>
                    <w:t>–</w:t>
                  </w:r>
                  <w:r w:rsidRPr="00D73685">
                    <w:rPr>
                      <w:rFonts w:cs="SKR HEAD1" w:hint="cs"/>
                      <w:rtl/>
                      <w:lang w:bidi="ar-EG"/>
                    </w:rPr>
                    <w:t xml:space="preserve"> جامعة بنها</w:t>
                  </w:r>
                </w:p>
              </w:tc>
              <w:tc>
                <w:tcPr>
                  <w:tcW w:w="3885" w:type="dxa"/>
                  <w:shd w:val="clear" w:color="auto" w:fill="auto"/>
                </w:tcPr>
                <w:p w:rsidR="00A96DE6" w:rsidRPr="00D73685" w:rsidRDefault="00A96DE6" w:rsidP="00F313F7">
                  <w:pPr>
                    <w:spacing w:line="216" w:lineRule="auto"/>
                    <w:jc w:val="center"/>
                    <w:rPr>
                      <w:rFonts w:cs="SKR HEAD1"/>
                      <w:rtl/>
                      <w:lang w:bidi="ar-EG"/>
                    </w:rPr>
                  </w:pPr>
                  <w:r w:rsidRPr="00D73685">
                    <w:rPr>
                      <w:rFonts w:cs="SKR HEAD1" w:hint="cs"/>
                      <w:rtl/>
                      <w:lang w:bidi="ar-EG"/>
                    </w:rPr>
                    <w:t>مدرس التربية المقارنة والإدارة التعليمية</w:t>
                  </w:r>
                </w:p>
                <w:p w:rsidR="00A96DE6" w:rsidRPr="00D73685" w:rsidRDefault="00A96DE6" w:rsidP="00F313F7">
                  <w:pPr>
                    <w:spacing w:line="216" w:lineRule="auto"/>
                    <w:jc w:val="center"/>
                    <w:rPr>
                      <w:rFonts w:cs="SKR HEAD1"/>
                      <w:rtl/>
                      <w:lang w:bidi="ar-EG"/>
                    </w:rPr>
                  </w:pPr>
                  <w:r w:rsidRPr="00D73685">
                    <w:rPr>
                      <w:rFonts w:cs="SKR HEAD1" w:hint="cs"/>
                      <w:rtl/>
                      <w:lang w:bidi="ar-EG"/>
                    </w:rPr>
                    <w:t xml:space="preserve">كلية التربية </w:t>
                  </w:r>
                  <w:r w:rsidRPr="00D73685">
                    <w:rPr>
                      <w:rFonts w:cs="SKR HEAD1"/>
                      <w:rtl/>
                      <w:lang w:bidi="ar-EG"/>
                    </w:rPr>
                    <w:t>–</w:t>
                  </w:r>
                  <w:r w:rsidRPr="00D73685">
                    <w:rPr>
                      <w:rFonts w:cs="SKR HEAD1" w:hint="cs"/>
                      <w:rtl/>
                      <w:lang w:bidi="ar-EG"/>
                    </w:rPr>
                    <w:t xml:space="preserve"> جامعة بنها</w:t>
                  </w:r>
                </w:p>
              </w:tc>
            </w:tr>
            <w:tr w:rsidR="00A96DE6" w:rsidRPr="00D73685" w:rsidTr="00F313F7">
              <w:trPr>
                <w:trHeight w:val="292"/>
                <w:jc w:val="center"/>
              </w:trPr>
              <w:tc>
                <w:tcPr>
                  <w:tcW w:w="4195" w:type="dxa"/>
                  <w:shd w:val="clear" w:color="auto" w:fill="auto"/>
                </w:tcPr>
                <w:p w:rsidR="00A96DE6" w:rsidRPr="00D73685" w:rsidRDefault="00A96DE6" w:rsidP="00F313F7">
                  <w:pPr>
                    <w:spacing w:line="216" w:lineRule="auto"/>
                    <w:jc w:val="center"/>
                    <w:rPr>
                      <w:rFonts w:cs="SKR HEAD1" w:hint="cs"/>
                      <w:rtl/>
                      <w:lang w:bidi="ar-EG"/>
                    </w:rPr>
                  </w:pPr>
                </w:p>
              </w:tc>
              <w:tc>
                <w:tcPr>
                  <w:tcW w:w="3885" w:type="dxa"/>
                  <w:shd w:val="clear" w:color="auto" w:fill="auto"/>
                </w:tcPr>
                <w:p w:rsidR="00A96DE6" w:rsidRPr="00D73685" w:rsidRDefault="00A96DE6" w:rsidP="00F313F7">
                  <w:pPr>
                    <w:spacing w:line="216" w:lineRule="auto"/>
                    <w:jc w:val="center"/>
                    <w:rPr>
                      <w:rFonts w:cs="SKR HEAD1" w:hint="cs"/>
                      <w:rtl/>
                      <w:lang w:bidi="ar-EG"/>
                    </w:rPr>
                  </w:pPr>
                </w:p>
              </w:tc>
            </w:tr>
            <w:tr w:rsidR="00A96DE6" w:rsidRPr="00D73685" w:rsidTr="00F313F7">
              <w:trPr>
                <w:trHeight w:val="292"/>
                <w:jc w:val="center"/>
              </w:trPr>
              <w:tc>
                <w:tcPr>
                  <w:tcW w:w="8080" w:type="dxa"/>
                  <w:gridSpan w:val="2"/>
                  <w:shd w:val="clear" w:color="auto" w:fill="auto"/>
                </w:tcPr>
                <w:p w:rsidR="00A96DE6" w:rsidRPr="00D73685" w:rsidRDefault="00A96DE6" w:rsidP="00F313F7">
                  <w:pPr>
                    <w:spacing w:line="216" w:lineRule="auto"/>
                    <w:jc w:val="center"/>
                    <w:rPr>
                      <w:rFonts w:cs="SKR HEAD1" w:hint="cs"/>
                      <w:rtl/>
                      <w:lang w:bidi="ar-EG"/>
                    </w:rPr>
                  </w:pPr>
                </w:p>
              </w:tc>
            </w:tr>
          </w:tbl>
          <w:p w:rsidR="00A96DE6" w:rsidRPr="000005AB" w:rsidRDefault="00A96DE6" w:rsidP="00F313F7">
            <w:pPr>
              <w:spacing w:line="276" w:lineRule="auto"/>
              <w:jc w:val="center"/>
              <w:rPr>
                <w:rFonts w:cs="SKR HEAD1" w:hint="cs"/>
                <w:sz w:val="26"/>
                <w:szCs w:val="26"/>
                <w:rtl/>
                <w:lang w:bidi="ar-EG"/>
              </w:rPr>
            </w:pPr>
          </w:p>
        </w:tc>
      </w:tr>
    </w:tbl>
    <w:p w:rsidR="00A96DE6" w:rsidRPr="0046006C" w:rsidRDefault="00A96DE6" w:rsidP="00A96DE6">
      <w:pPr>
        <w:pStyle w:val="1"/>
        <w:spacing w:before="0"/>
        <w:jc w:val="both"/>
        <w:rPr>
          <w:rFonts w:ascii="Simplified Arabic" w:hAnsi="Simplified Arabic" w:cs="Simplified Arabic" w:hint="cs"/>
          <w:b/>
          <w:bCs/>
          <w:szCs w:val="28"/>
          <w:rtl/>
          <w:lang w:bidi="ar-EG"/>
        </w:rPr>
      </w:pPr>
      <w:r w:rsidRPr="0046006C">
        <w:rPr>
          <w:rFonts w:ascii="Simplified Arabic" w:hAnsi="Simplified Arabic" w:cs="Simplified Arabic" w:hint="cs"/>
          <w:b/>
          <w:bCs/>
          <w:szCs w:val="28"/>
          <w:u w:val="single"/>
          <w:rtl/>
          <w:lang w:bidi="ar-EG"/>
        </w:rPr>
        <w:t>مستخلص البحث باللغة العربية</w:t>
      </w:r>
      <w:r w:rsidRPr="0046006C">
        <w:rPr>
          <w:rFonts w:ascii="Simplified Arabic" w:hAnsi="Simplified Arabic" w:cs="Simplified Arabic" w:hint="cs"/>
          <w:b/>
          <w:bCs/>
          <w:szCs w:val="28"/>
          <w:rtl/>
          <w:lang w:bidi="ar-EG"/>
        </w:rPr>
        <w:t>:</w:t>
      </w:r>
    </w:p>
    <w:p w:rsidR="00A96DE6" w:rsidRDefault="00A96DE6" w:rsidP="00A96DE6">
      <w:pPr>
        <w:ind w:firstLine="566"/>
        <w:jc w:val="lowKashida"/>
        <w:rPr>
          <w:rFonts w:ascii="Simplified Arabic" w:hAnsi="Simplified Arabic" w:hint="cs"/>
          <w:b/>
          <w:bCs/>
          <w:u w:val="single"/>
          <w:rtl/>
          <w:lang w:bidi="ar-EG"/>
        </w:rPr>
      </w:pPr>
      <w:bookmarkStart w:id="2" w:name="OLE_LINK3"/>
      <w:bookmarkStart w:id="3" w:name="OLE_LINK4"/>
      <w:bookmarkStart w:id="4" w:name="OLE_LINK13"/>
      <w:bookmarkStart w:id="5" w:name="OLE_LINK14"/>
      <w:bookmarkStart w:id="6" w:name="OLE_LINK19"/>
      <w:r w:rsidRPr="00A92942">
        <w:rPr>
          <w:rFonts w:ascii="Simplified Arabic" w:hAnsi="Simplified Arabic"/>
          <w:rtl/>
          <w:lang w:bidi="ar-EG"/>
        </w:rPr>
        <w:t xml:space="preserve">استهدف البحث الحالي </w:t>
      </w:r>
      <w:bookmarkStart w:id="7" w:name="OLE_LINK9"/>
      <w:bookmarkStart w:id="8" w:name="OLE_LINK10"/>
      <w:bookmarkEnd w:id="2"/>
      <w:bookmarkEnd w:id="3"/>
      <w:r>
        <w:rPr>
          <w:rFonts w:hint="cs"/>
          <w:i/>
          <w:rtl/>
        </w:rPr>
        <w:t>التعرف على التصنيفات العالمية للجامعات من حيث مفهومها وأنواعها ومعاييرها ومؤشراتها، هذا بالإضافة إلى الوقوف على الوضع التنافسي للجامعات المصرية في ضوء تلك التصنيفات، وأخيراً التوصل إلى إجراءات مقترحة للارتقاء بالمركز التنافسي للجامعات المصرية في ضوء التصنيفات العالمية للجامعات</w:t>
      </w:r>
      <w:r>
        <w:rPr>
          <w:rFonts w:ascii="Simplified Arabic" w:hAnsi="Simplified Arabic" w:hint="cs"/>
          <w:rtl/>
          <w:lang w:bidi="ar-EG"/>
        </w:rPr>
        <w:t xml:space="preserve">، </w:t>
      </w:r>
      <w:r w:rsidRPr="00A92942">
        <w:rPr>
          <w:rFonts w:ascii="Simplified Arabic" w:hAnsi="Simplified Arabic" w:hint="cs"/>
          <w:rtl/>
          <w:lang w:bidi="ar-EG"/>
        </w:rPr>
        <w:t>واستخدم البحث الحال</w:t>
      </w:r>
      <w:r>
        <w:rPr>
          <w:rFonts w:ascii="Simplified Arabic" w:hAnsi="Simplified Arabic" w:hint="cs"/>
          <w:rtl/>
          <w:lang w:bidi="ar-EG"/>
        </w:rPr>
        <w:t>ي</w:t>
      </w:r>
      <w:r w:rsidRPr="00A92942">
        <w:rPr>
          <w:rFonts w:ascii="Simplified Arabic" w:hAnsi="Simplified Arabic" w:hint="cs"/>
          <w:rtl/>
          <w:lang w:bidi="ar-EG"/>
        </w:rPr>
        <w:t xml:space="preserve"> المنهج الوصف</w:t>
      </w:r>
      <w:r>
        <w:rPr>
          <w:rFonts w:ascii="Simplified Arabic" w:hAnsi="Simplified Arabic" w:hint="cs"/>
          <w:rtl/>
          <w:lang w:bidi="ar-EG"/>
        </w:rPr>
        <w:t>ي</w:t>
      </w:r>
      <w:r w:rsidRPr="00A92942">
        <w:rPr>
          <w:rFonts w:ascii="Simplified Arabic" w:hAnsi="Simplified Arabic" w:hint="cs"/>
          <w:rtl/>
          <w:lang w:bidi="ar-EG"/>
        </w:rPr>
        <w:t xml:space="preserve"> لدراسة المشكلة</w:t>
      </w:r>
      <w:r>
        <w:rPr>
          <w:rFonts w:ascii="Simplified Arabic" w:hAnsi="Simplified Arabic" w:hint="cs"/>
          <w:rtl/>
          <w:lang w:bidi="ar-EG"/>
        </w:rPr>
        <w:t>،</w:t>
      </w:r>
      <w:r w:rsidRPr="00A92942">
        <w:rPr>
          <w:rFonts w:ascii="Simplified Arabic" w:hAnsi="Simplified Arabic" w:hint="cs"/>
          <w:rtl/>
          <w:lang w:bidi="ar-EG"/>
        </w:rPr>
        <w:t xml:space="preserve"> وتوصل ف</w:t>
      </w:r>
      <w:r>
        <w:rPr>
          <w:rFonts w:ascii="Simplified Arabic" w:hAnsi="Simplified Arabic" w:hint="cs"/>
          <w:rtl/>
          <w:lang w:bidi="ar-EG"/>
        </w:rPr>
        <w:t>ي</w:t>
      </w:r>
      <w:r w:rsidRPr="00A92942">
        <w:rPr>
          <w:rFonts w:ascii="Simplified Arabic" w:hAnsi="Simplified Arabic" w:hint="cs"/>
          <w:rtl/>
          <w:lang w:bidi="ar-EG"/>
        </w:rPr>
        <w:t xml:space="preserve"> نتائجه إلى</w:t>
      </w:r>
      <w:bookmarkEnd w:id="7"/>
      <w:bookmarkEnd w:id="8"/>
      <w:r w:rsidRPr="0003762C">
        <w:rPr>
          <w:rFonts w:ascii="Simplified Arabic" w:hAnsi="Simplified Arabic" w:hint="cs"/>
          <w:rtl/>
          <w:lang w:bidi="ar-EG"/>
        </w:rPr>
        <w:t xml:space="preserve"> إ</w:t>
      </w:r>
      <w:r>
        <w:rPr>
          <w:rFonts w:ascii="Simplified Arabic" w:hAnsi="Simplified Arabic" w:hint="cs"/>
          <w:rtl/>
          <w:lang w:bidi="ar-EG"/>
        </w:rPr>
        <w:t xml:space="preserve">ن </w:t>
      </w:r>
      <w:r w:rsidRPr="00184462">
        <w:rPr>
          <w:rFonts w:ascii="Simplified Arabic" w:hAnsi="Simplified Arabic" w:hint="cs"/>
          <w:rtl/>
          <w:lang w:bidi="ar-EG"/>
        </w:rPr>
        <w:t>التصنيفات العالمية للجامعات</w:t>
      </w:r>
      <w:r>
        <w:rPr>
          <w:rFonts w:ascii="Simplified Arabic" w:hAnsi="Simplified Arabic" w:hint="cs"/>
          <w:rtl/>
          <w:lang w:bidi="ar-EG"/>
        </w:rPr>
        <w:t>:</w:t>
      </w:r>
      <w:r w:rsidRPr="00184462">
        <w:rPr>
          <w:rFonts w:ascii="Simplified Arabic" w:hAnsi="Simplified Arabic" w:hint="cs"/>
          <w:rtl/>
          <w:lang w:bidi="ar-EG"/>
        </w:rPr>
        <w:t xml:space="preserve"> </w:t>
      </w:r>
      <w:r>
        <w:rPr>
          <w:rFonts w:ascii="Simplified Arabic" w:hAnsi="Simplified Arabic" w:hint="cs"/>
          <w:rtl/>
          <w:lang w:bidi="ar-EG"/>
        </w:rPr>
        <w:t>تساعد في</w:t>
      </w:r>
      <w:r w:rsidRPr="00184462">
        <w:rPr>
          <w:rFonts w:ascii="Simplified Arabic" w:hAnsi="Simplified Arabic" w:hint="cs"/>
          <w:rtl/>
          <w:lang w:bidi="ar-EG"/>
        </w:rPr>
        <w:t xml:space="preserve"> التعرف على المركز التنافسي</w:t>
      </w:r>
      <w:r>
        <w:rPr>
          <w:rFonts w:ascii="Simplified Arabic" w:hAnsi="Simplified Arabic" w:hint="cs"/>
          <w:rtl/>
          <w:lang w:bidi="ar-EG"/>
        </w:rPr>
        <w:t xml:space="preserve"> للجامعة</w:t>
      </w:r>
      <w:r w:rsidRPr="00184462">
        <w:rPr>
          <w:rFonts w:ascii="Simplified Arabic" w:hAnsi="Simplified Arabic" w:hint="cs"/>
          <w:rtl/>
          <w:lang w:bidi="ar-EG"/>
        </w:rPr>
        <w:t xml:space="preserve"> الذي تشغله في ترتيب الجامعات </w:t>
      </w:r>
      <w:r>
        <w:rPr>
          <w:rFonts w:ascii="Simplified Arabic" w:hAnsi="Simplified Arabic" w:hint="cs"/>
          <w:rtl/>
          <w:lang w:bidi="ar-EG"/>
        </w:rPr>
        <w:t xml:space="preserve">محلياً وعالمياً، تتضمن </w:t>
      </w:r>
      <w:r w:rsidRPr="00184462">
        <w:rPr>
          <w:rFonts w:ascii="Simplified Arabic" w:hAnsi="Simplified Arabic" w:hint="cs"/>
          <w:rtl/>
          <w:lang w:bidi="ar-EG"/>
        </w:rPr>
        <w:t>مجموعة من المعايير والمؤشرات المرتبطة بأداء الجامعة في أنشطتها التعليمية والبحثية والمجتمعية</w:t>
      </w:r>
      <w:r>
        <w:rPr>
          <w:rFonts w:ascii="Simplified Arabic" w:hAnsi="Simplified Arabic" w:hint="cs"/>
          <w:rtl/>
          <w:lang w:bidi="ar-EG"/>
        </w:rPr>
        <w:t xml:space="preserve">، </w:t>
      </w:r>
      <w:r w:rsidRPr="00184462">
        <w:rPr>
          <w:rFonts w:ascii="Simplified Arabic" w:hAnsi="Simplified Arabic" w:hint="cs"/>
          <w:rtl/>
          <w:lang w:bidi="ar-EG"/>
        </w:rPr>
        <w:t>حصلت الجامعات المصرية على مراكز متأخرة جدا في التصنيفات العالمية للجامعات، بل وغابت نهائيا في بعض السنوات عن التصنيف على المستوى العالم</w:t>
      </w:r>
      <w:r>
        <w:rPr>
          <w:rFonts w:ascii="Simplified Arabic" w:hAnsi="Simplified Arabic" w:hint="cs"/>
          <w:rtl/>
          <w:lang w:bidi="ar-EG"/>
        </w:rPr>
        <w:t>ي</w:t>
      </w:r>
      <w:bookmarkEnd w:id="4"/>
      <w:bookmarkEnd w:id="5"/>
      <w:bookmarkEnd w:id="6"/>
      <w:r>
        <w:rPr>
          <w:rFonts w:ascii="Simplified Arabic" w:hAnsi="Simplified Arabic" w:hint="cs"/>
          <w:rtl/>
          <w:lang w:bidi="ar-EG"/>
        </w:rPr>
        <w:t>.</w:t>
      </w:r>
    </w:p>
    <w:p w:rsidR="00A96DE6" w:rsidRPr="0046006C" w:rsidRDefault="00A96DE6" w:rsidP="00A96DE6">
      <w:pPr>
        <w:jc w:val="lowKashida"/>
        <w:rPr>
          <w:rFonts w:hint="cs"/>
          <w:rtl/>
          <w:lang w:bidi="ar-EG"/>
        </w:rPr>
      </w:pPr>
      <w:r w:rsidRPr="0046006C">
        <w:rPr>
          <w:rFonts w:ascii="Simplified Arabic" w:hAnsi="Simplified Arabic" w:hint="cs"/>
          <w:b/>
          <w:bCs/>
          <w:u w:val="single"/>
          <w:rtl/>
          <w:lang w:bidi="ar-EG"/>
        </w:rPr>
        <w:t>مستخلص البحث باللغة الأجنبية</w:t>
      </w:r>
      <w:r w:rsidRPr="0046006C">
        <w:rPr>
          <w:rFonts w:hint="cs"/>
          <w:rtl/>
          <w:lang/>
        </w:rPr>
        <w:t>:</w:t>
      </w:r>
    </w:p>
    <w:p w:rsidR="00A96DE6" w:rsidRPr="00504FB8" w:rsidRDefault="00A96DE6" w:rsidP="00A96DE6">
      <w:pPr>
        <w:bidi w:val="0"/>
        <w:jc w:val="both"/>
        <w:rPr>
          <w:rFonts w:eastAsia="Calibri" w:cs="Times New Roman"/>
          <w:b/>
          <w:bCs/>
          <w:lang w:eastAsia="en-US"/>
        </w:rPr>
      </w:pPr>
      <w:r w:rsidRPr="00504FB8">
        <w:rPr>
          <w:rFonts w:eastAsia="Calibri" w:cs="Times New Roman"/>
          <w:b/>
          <w:bCs/>
          <w:lang w:eastAsia="en-US"/>
        </w:rPr>
        <w:t xml:space="preserve">" </w:t>
      </w:r>
      <w:r w:rsidRPr="00504FB8">
        <w:rPr>
          <w:rStyle w:val="tlid-translation"/>
          <w:b/>
          <w:bCs/>
        </w:rPr>
        <w:t>International rankings of universities and the location of Egyptian universities</w:t>
      </w:r>
      <w:r w:rsidRPr="00504FB8">
        <w:rPr>
          <w:rFonts w:eastAsia="Calibri" w:cs="Times New Roman"/>
          <w:b/>
          <w:bCs/>
          <w:lang w:eastAsia="en-US"/>
        </w:rPr>
        <w:t xml:space="preserve"> "</w:t>
      </w:r>
    </w:p>
    <w:p w:rsidR="00A96DE6" w:rsidRPr="00E91928" w:rsidRDefault="00A96DE6" w:rsidP="00A96DE6">
      <w:pPr>
        <w:bidi w:val="0"/>
        <w:jc w:val="both"/>
        <w:rPr>
          <w:rFonts w:eastAsia="Calibri" w:cs="Times New Roman"/>
          <w:lang w:eastAsia="en-US"/>
        </w:rPr>
      </w:pPr>
      <w:r w:rsidRPr="00E91928">
        <w:rPr>
          <w:rFonts w:eastAsia="Calibri" w:cs="Times New Roman"/>
          <w:lang w:eastAsia="en-US"/>
        </w:rPr>
        <w:t xml:space="preserve">          </w:t>
      </w:r>
      <w:r>
        <w:rPr>
          <w:rStyle w:val="tlid-translation"/>
        </w:rPr>
        <w:t>The current research aimed to identify the international classifications of universities in terms of their concept, types, criteria and indicators, in addition to the competitive position of the Egyptian universities in the light of these classifications, and finally to reach the proposed measures to improve the competitive position of Egyptian universities in the light of the international rankings of universities. To study the problem, and reached the results that the global rankings of universities: help to identify the competitive position of the university, which occupies the ranking of universities locally and internationally, includes a set of criteria and indicators associated with performance The University in their educational activities and research community, got Egyptian universities too late centers in the international rankings of universities, and even absent in some final years classification at the global level</w:t>
      </w:r>
      <w:r w:rsidRPr="00E91928">
        <w:rPr>
          <w:rFonts w:eastAsia="Calibri" w:cs="Times New Roman"/>
          <w:lang w:eastAsia="en-US"/>
        </w:rPr>
        <w:t>.</w:t>
      </w:r>
    </w:p>
    <w:p w:rsidR="00AD66EE" w:rsidRPr="00A96DE6" w:rsidRDefault="00AD66EE">
      <w:pPr>
        <w:rPr>
          <w:rFonts w:hint="cs"/>
          <w:lang w:bidi="ar-EG"/>
        </w:rPr>
      </w:pPr>
    </w:p>
    <w:sectPr w:rsidR="00AD66EE" w:rsidRPr="00A96DE6" w:rsidSect="0075797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GE Jarida Heavy">
    <w:altName w:val="Sakkal Majalla"/>
    <w:panose1 w:val="00000000000000000000"/>
    <w:charset w:val="B2"/>
    <w:family w:val="roman"/>
    <w:notTrueType/>
    <w:pitch w:val="variable"/>
    <w:sig w:usb0="80002003" w:usb1="80000100" w:usb2="00000028" w:usb3="00000000" w:csb0="00000040" w:csb1="00000000"/>
  </w:font>
  <w:font w:name="IranNastaliq">
    <w:altName w:val="Arial Unicode MS"/>
    <w:charset w:val="00"/>
    <w:family w:val="roman"/>
    <w:pitch w:val="variable"/>
    <w:sig w:usb0="00000000" w:usb1="80000000" w:usb2="00000008" w:usb3="00000000" w:csb0="000101FF" w:csb1="00000000"/>
  </w:font>
  <w:font w:name="SKR HEAD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A96DE6"/>
    <w:rsid w:val="001C62C7"/>
    <w:rsid w:val="002E5A24"/>
    <w:rsid w:val="004A6063"/>
    <w:rsid w:val="00596933"/>
    <w:rsid w:val="0075797F"/>
    <w:rsid w:val="00897DF0"/>
    <w:rsid w:val="00A20121"/>
    <w:rsid w:val="00A96DE6"/>
    <w:rsid w:val="00AD66EE"/>
    <w:rsid w:val="00BA01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E6"/>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uiPriority w:val="9"/>
    <w:qFormat/>
    <w:rsid w:val="00A96DE6"/>
    <w:pPr>
      <w:keepNext/>
      <w:spacing w:before="160"/>
      <w:outlineLvl w:val="0"/>
    </w:pPr>
    <w:rPr>
      <w:rFonts w:ascii="Impact" w:hAnsi="Impact" w:cs="Times New Roman"/>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96DE6"/>
    <w:rPr>
      <w:rFonts w:ascii="Impact" w:eastAsia="Times New Roman" w:hAnsi="Impact" w:cs="Times New Roman"/>
      <w:sz w:val="28"/>
      <w:szCs w:val="32"/>
      <w:lang w:eastAsia="ar-SA"/>
    </w:rPr>
  </w:style>
  <w:style w:type="character" w:customStyle="1" w:styleId="tlid-translation">
    <w:name w:val="tlid-translation"/>
    <w:basedOn w:val="a0"/>
    <w:rsid w:val="00A96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2019-02-12T10:24:00Z</dcterms:created>
  <dcterms:modified xsi:type="dcterms:W3CDTF">2019-02-12T10:25:00Z</dcterms:modified>
</cp:coreProperties>
</file>